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i w:val="0"/>
          <w:color w:val="723031"/>
          <w:u w:val="none"/>
        </w:rPr>
      </w:pPr>
      <w:r w:rsidDel="00000000" w:rsidR="00000000" w:rsidRPr="00000000">
        <w:rPr>
          <w:i w:val="1"/>
          <w:color w:val="723031"/>
          <w:u w:val="no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1828800</wp:posOffset>
            </wp:positionH>
            <wp:positionV relativeFrom="margin">
              <wp:posOffset>-685798</wp:posOffset>
            </wp:positionV>
            <wp:extent cx="1767205" cy="1143000"/>
            <wp:effectExtent b="0" l="0" r="0" t="0"/>
            <wp:wrapSquare wrapText="bothSides" distB="0" distT="0" distL="114300" distR="11430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8541" l="-5046" r="16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i w:val="0"/>
          <w:color w:val="72303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color w:val="723031"/>
          <w:u w:val="none"/>
        </w:rPr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1724978</wp:posOffset>
            </wp:positionH>
            <wp:positionV relativeFrom="paragraph">
              <wp:posOffset>19050</wp:posOffset>
            </wp:positionV>
            <wp:extent cx="1923097" cy="542925"/>
            <wp:effectExtent b="0" l="0" r="0" t="0"/>
            <wp:wrapNone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36614" l="21205" r="22240" t="40625"/>
                    <a:stretch>
                      <a:fillRect/>
                    </a:stretch>
                  </pic:blipFill>
                  <pic:spPr>
                    <a:xfrm>
                      <a:off x="0" y="0"/>
                      <a:ext cx="1923097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i w:val="1"/>
          <w:color w:val="72303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color w:val="72303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color w:val="72303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3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5310"/>
        <w:tblGridChange w:id="0">
          <w:tblGrid>
            <w:gridCol w:w="3000"/>
            <w:gridCol w:w="5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ind w:left="40" w:firstLine="0"/>
              <w:jc w:val="both"/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VINEYARD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Region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Pucará Valley, Salt, Argentina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Varietal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100% Malbec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Block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Cardones-Block # 3</w:t>
            </w:r>
          </w:p>
          <w:p w:rsidR="00000000" w:rsidDel="00000000" w:rsidP="00000000" w:rsidRDefault="00000000" w:rsidRPr="00000000" w14:paraId="0000001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Guardia-Block #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Altitude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8.022 Feet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Soil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-Block # 3</w:t>
            </w: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: Decomposed Granite </w:t>
            </w:r>
          </w:p>
          <w:p w:rsidR="00000000" w:rsidDel="00000000" w:rsidP="00000000" w:rsidRDefault="00000000" w:rsidRPr="00000000" w14:paraId="00000015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La Guardia-Block # 5: Ferruginous Clay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North-South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Size of Vineyard (Acres)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Subtitle"/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Alto Cardones-Block # 3: 5,4 Acres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La Guardia-Block # 5: 13 Acres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Training Method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Vine / Acre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2.800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Yield: Pounds/Acre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3.285 – 4.157 Pounds / Acre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Irrigation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Dripping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ANALYTICAL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Alcohol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Style w:val="Subtitle"/>
              <w:rPr>
                <w:b w:val="1"/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Residual Sugar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1,80 gr/lt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pStyle w:val="Subtitle"/>
              <w:rPr>
                <w:b w:val="1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color w:val="723031"/>
                <w:sz w:val="18"/>
                <w:szCs w:val="18"/>
                <w:u w:val="none"/>
                <w:rtl w:val="0"/>
              </w:rPr>
              <w:t xml:space="preserve">WINEMAKING &amp; AGING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723031"/>
                <w:sz w:val="18"/>
                <w:szCs w:val="18"/>
                <w:u w:val="none"/>
                <w:rtl w:val="0"/>
              </w:rPr>
              <w:t xml:space="preserve">Harvest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February 13,2020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Bottle Production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1.318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 Bottles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Fermentation Container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Steel Tank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Length of Fermentation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7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Fermentation Temperature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82ºF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Maceration Technique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No cold maceration or use of enzymes. High frequency pump overs, up to 12 hours/day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Malolactic Fermentation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Spontaneous-during 9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Aging Container</w:t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French Oak 225 &amp; 160 Liters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Age of Container</w:t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60% New / 20% 1 Use / 20% 2 Uses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Cooperage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18 Months in boutes barrel on fine lees with monthly batonnage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Aging in Bottle</w:t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bookmarkStart w:colFirst="0" w:colLast="0" w:name="_heading=h.wlj2913z741j" w:id="1"/>
            <w:bookmarkEnd w:id="1"/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 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Aging Potential</w:t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20  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23031"/>
                <w:sz w:val="18"/>
                <w:szCs w:val="18"/>
                <w:u w:val="none"/>
                <w:rtl w:val="0"/>
              </w:rPr>
              <w:t xml:space="preserve">Winemaker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Subtitle"/>
              <w:rPr>
                <w:i w:val="0"/>
                <w:color w:val="72303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0"/>
                <w:color w:val="723031"/>
                <w:sz w:val="18"/>
                <w:szCs w:val="18"/>
                <w:u w:val="none"/>
                <w:rtl w:val="0"/>
              </w:rPr>
              <w:t xml:space="preserve">Santiago Achával &amp; Roberto Cipresso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567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La Finca de los Viñedos Imposibles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Valle de Pucará, Salta - Tel: +54 9 11 6721-9999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48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  <w:rtl w:val="0"/>
      </w:rPr>
      <w:t xml:space="preserve">contacto@vinedosimposibles.com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23031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1828800</wp:posOffset>
          </wp:positionH>
          <wp:positionV relativeFrom="margin">
            <wp:posOffset>-685798</wp:posOffset>
          </wp:positionV>
          <wp:extent cx="1767205" cy="114300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541" l="-5046" r="1683" t="0"/>
                  <a:stretch>
                    <a:fillRect/>
                  </a:stretch>
                </pic:blipFill>
                <pic:spPr>
                  <a:xfrm>
                    <a:off x="0" y="0"/>
                    <a:ext cx="1767205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u w:val="single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6"/>
      <w:szCs w:val="26"/>
      <w:u w:val="no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uiPriority w:val="9"/>
    <w:qFormat w:val="1"/>
    <w:rsid w:val="003C61D4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72562"/>
  </w:style>
  <w:style w:type="paragraph" w:styleId="Piedepgina">
    <w:name w:val="footer"/>
    <w:basedOn w:val="Normal"/>
    <w:link w:val="PiedepginaCar"/>
    <w:uiPriority w:val="99"/>
    <w:unhideWhenUsed w:val="1"/>
    <w:rsid w:val="00F7256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7256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72562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72562"/>
    <w:rPr>
      <w:rFonts w:ascii="Lucida Grande" w:hAnsi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 w:val="1"/>
    <w:rsid w:val="00F72562"/>
    <w:rPr>
      <w:i w:val="1"/>
      <w:iCs w:val="1"/>
      <w:color w:val="808080" w:themeColor="text1" w:themeTint="00007F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F7256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F72562"/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table" w:styleId="Tablaconcuadrcula">
    <w:name w:val="Table Grid"/>
    <w:basedOn w:val="Tablanormal"/>
    <w:uiPriority w:val="59"/>
    <w:rsid w:val="003C4EF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4E02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E0208"/>
    <w:rPr>
      <w:color w:val="800080" w:themeColor="followed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3C61D4"/>
    <w:rPr>
      <w:rFonts w:ascii="Times New Roman" w:cs="Times New Roman" w:eastAsia="Times New Roman" w:hAnsi="Times New Roman"/>
      <w:b w:val="1"/>
      <w:bCs w:val="1"/>
      <w:sz w:val="26"/>
      <w:szCs w:val="26"/>
      <w:u w:val="none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B763A3"/>
    <w:pPr>
      <w:spacing w:after="100" w:afterAutospacing="1" w:before="100" w:beforeAutospacing="1"/>
    </w:pPr>
    <w:rPr>
      <w:rFonts w:ascii="Times New Roman" w:cs="Times New Roman" w:eastAsia="Times New Roman" w:hAnsi="Times New Roman"/>
      <w:u w:val="none"/>
      <w:lang w:eastAsia="es-MX" w:val="es-AR"/>
    </w:rPr>
  </w:style>
  <w:style w:type="character" w:styleId="Textoennegrita">
    <w:name w:val="Strong"/>
    <w:basedOn w:val="Fuentedeprrafopredeter"/>
    <w:uiPriority w:val="22"/>
    <w:qFormat w:val="1"/>
    <w:rsid w:val="00B763A3"/>
    <w:rPr>
      <w:b w:val="1"/>
      <w:bCs w:val="1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uryjDP+VM9VvNSZ9pmnWgOSmw==">CgMxLjAyCGguZ2pkZ3hzMg5oLndsajI5MTN6NzQxajgAciExTHNxV3BYZ21LT2wtbm1TYmN5VnlyYzdCcGl6bkdxMmE=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2024-10-07T14:53:00Z</dcterms:created>
  <dc:creator>Analista</dc:creator>
</cp:coreProperties>
</file>